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48E68D" w:rsidR="00EA13FF" w:rsidRDefault="00EA13FF" w:rsidP="00EA13FF">
            <w:pPr>
              <w:jc w:val="center"/>
              <w:rPr>
                <w:lang w:val="en-GB"/>
              </w:rPr>
            </w:pPr>
            <w:r>
              <w:rPr>
                <w:lang w:val="en-GB"/>
              </w:rPr>
              <w:t xml:space="preserve">Year </w:t>
            </w:r>
            <w:r w:rsidR="00370115">
              <w:rPr>
                <w:lang w:val="en-GB"/>
              </w:rPr>
              <w:t>3 / 4</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50FC95ED" w14:textId="77777777" w:rsidR="006933E2" w:rsidRDefault="006933E2" w:rsidP="00EA13FF">
            <w:pPr>
              <w:rPr>
                <w:lang w:val="en-GB"/>
              </w:rPr>
            </w:pPr>
          </w:p>
          <w:p w14:paraId="0B0272BC" w14:textId="39FC7F24" w:rsidR="009A6BC7" w:rsidRDefault="009A6BC7" w:rsidP="00EA13FF">
            <w:pPr>
              <w:rPr>
                <w:lang w:val="en-GB"/>
              </w:rPr>
            </w:pPr>
            <w:r>
              <w:rPr>
                <w:lang w:val="en-GB"/>
              </w:rPr>
              <w:t>Hockey</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4ABF74B9" w:rsidR="00EA13FF" w:rsidRDefault="009A6BC7">
            <w:pPr>
              <w:rPr>
                <w:lang w:val="en-GB"/>
              </w:rPr>
            </w:pPr>
            <w:r>
              <w:rPr>
                <w:lang w:val="en-GB"/>
              </w:rPr>
              <w:t>Leighton Buzzard Hockey Club, Vandyke Upper School</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013C6DD8" w14:textId="77777777" w:rsidR="006933E2" w:rsidRDefault="006933E2">
            <w:pPr>
              <w:rPr>
                <w:lang w:val="en-GB"/>
              </w:rPr>
            </w:pPr>
          </w:p>
          <w:p w14:paraId="74388480" w14:textId="7B0F87A9" w:rsidR="00CA3A49" w:rsidRDefault="009A6BC7">
            <w:pPr>
              <w:rPr>
                <w:lang w:val="en-GB"/>
              </w:rPr>
            </w:pPr>
            <w:r>
              <w:rPr>
                <w:lang w:val="en-GB"/>
              </w:rPr>
              <w:t>Wednesday 22</w:t>
            </w:r>
            <w:r w:rsidRPr="009A6BC7">
              <w:rPr>
                <w:vertAlign w:val="superscript"/>
                <w:lang w:val="en-GB"/>
              </w:rPr>
              <w:t>nd</w:t>
            </w:r>
            <w:r>
              <w:rPr>
                <w:lang w:val="en-GB"/>
              </w:rPr>
              <w:t xml:space="preserve"> January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66AA7121"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w:t>
            </w:r>
            <w:r w:rsidR="009A6BC7">
              <w:rPr>
                <w:lang w:val="en-GB"/>
              </w:rPr>
              <w:t>Hockey</w:t>
            </w:r>
            <w:r w:rsidR="00CA3A49">
              <w:rPr>
                <w:lang w:val="en-GB"/>
              </w:rPr>
              <w:t xml:space="preserve">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A6BC7"/>
    <w:rsid w:val="009D7692"/>
    <w:rsid w:val="00AD22AE"/>
    <w:rsid w:val="00B77DBE"/>
    <w:rsid w:val="00BC0366"/>
    <w:rsid w:val="00BC16F5"/>
    <w:rsid w:val="00CA3A49"/>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2024-11-08T11:59:00Z</dcterms:created>
  <dcterms:modified xsi:type="dcterms:W3CDTF">2024-11-08T11:59:00Z</dcterms:modified>
</cp:coreProperties>
</file>